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3686810</wp:posOffset>
            </wp:positionH>
            <wp:positionV relativeFrom="page">
              <wp:posOffset>360045</wp:posOffset>
            </wp:positionV>
            <wp:extent cx="3333750" cy="21431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0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>Положение о спортивном клубе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>в МБОУ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>ОМОШ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252525"/>
        </w:rPr>
        <w:t xml:space="preserve"> Качык Эрзинского кожууна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252525"/>
        </w:rPr>
        <w:t>Общие положения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7" w:lineRule="exact"/>
        <w:rPr>
          <w:sz w:val="24"/>
          <w:szCs w:val="24"/>
          <w:color w:val="auto"/>
        </w:rPr>
      </w:pPr>
    </w:p>
    <w:p>
      <w:pPr>
        <w:ind w:left="1700" w:hanging="358"/>
        <w:spacing w:after="0"/>
        <w:tabs>
          <w:tab w:val="left" w:leader="none" w:pos="1700"/>
        </w:tabs>
        <w:numPr>
          <w:ilvl w:val="1"/>
          <w:numId w:val="1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Настоящее положение разработано в соответствии с:</w:t>
      </w:r>
    </w:p>
    <w:p>
      <w:pPr>
        <w:spacing w:after="0" w:line="164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firstLine="2"/>
        <w:spacing w:after="0" w:line="234" w:lineRule="auto"/>
        <w:tabs>
          <w:tab w:val="left" w:leader="none" w:pos="433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Федеральным законом «Об образовании в Российской Федерации» от 29.12.2012 года № 273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ФЗ.</w:t>
      </w:r>
    </w:p>
    <w:p>
      <w:pPr>
        <w:spacing w:after="0" w:line="165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firstLine="2"/>
        <w:spacing w:after="0" w:line="234" w:lineRule="auto"/>
        <w:tabs>
          <w:tab w:val="left" w:leader="none" w:pos="558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Федеральным законом «О физической культуре и спорте в Российской Федерации» от 04 декабря 2007 года № 329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ФЗ.</w:t>
      </w:r>
    </w:p>
    <w:p>
      <w:pPr>
        <w:spacing w:after="0" w:line="166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jc w:val="both"/>
        <w:ind w:left="260" w:firstLine="2"/>
        <w:spacing w:after="0" w:line="235" w:lineRule="auto"/>
        <w:tabs>
          <w:tab w:val="left" w:leader="none" w:pos="526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>
      <w:pPr>
        <w:spacing w:after="0" w:line="168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jc w:val="both"/>
        <w:ind w:left="260" w:firstLine="2"/>
        <w:spacing w:after="0" w:line="237" w:lineRule="auto"/>
        <w:tabs>
          <w:tab w:val="left" w:leader="none" w:pos="426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1077/19 (НП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-02-07/4568).</w:t>
      </w:r>
    </w:p>
    <w:p>
      <w:pPr>
        <w:spacing w:after="0" w:line="165" w:lineRule="exact"/>
        <w:rPr>
          <w:sz w:val="24"/>
          <w:szCs w:val="24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1.2. Спортивный клуб (далее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определѐнные уставом образовательного учреждения.</w:t>
      </w:r>
    </w:p>
    <w:p>
      <w:pPr>
        <w:spacing w:after="0" w:line="169" w:lineRule="exact"/>
        <w:rPr>
          <w:sz w:val="24"/>
          <w:szCs w:val="24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>
      <w:pPr>
        <w:spacing w:after="0" w:line="165" w:lineRule="exact"/>
        <w:rPr>
          <w:sz w:val="24"/>
          <w:szCs w:val="24"/>
          <w:color w:val="auto"/>
        </w:rPr>
      </w:pPr>
    </w:p>
    <w:p>
      <w:pPr>
        <w:jc w:val="both"/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>
      <w:pPr>
        <w:spacing w:after="0" w:line="15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1.5. Клуб имеет свою символику, название, эмблему.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1.6. Образовательная организация, при которой создан физкультурно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спортивный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jc w:val="both"/>
        <w:ind w:left="26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клуб, оказывает материально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техническое обеспечение и оснащение образовательного процесса, оборудование помещений клуба в соответствии с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260"/>
        <w:spacing w:after="0"/>
        <w:tabs>
          <w:tab w:val="left" w:leader="none" w:pos="2960"/>
          <w:tab w:val="left" w:leader="none" w:pos="3740"/>
          <w:tab w:val="left" w:leader="none" w:pos="5500"/>
          <w:tab w:val="left" w:leader="none" w:pos="7120"/>
          <w:tab w:val="left" w:leader="none" w:pos="79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государственными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местными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нормами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5"/>
          <w:szCs w:val="25"/>
          <w:color w:val="auto"/>
        </w:rPr>
        <w:t>требованиями.</w:t>
      </w:r>
    </w:p>
    <w:p>
      <w:pPr>
        <w:sectPr>
          <w:pgSz w:w="11900" w:h="16838" w:orient="portrait"/>
          <w:cols w:equalWidth="0" w:num="1">
            <w:col w:w="9620"/>
          </w:cols>
          <w:pgMar w:top="1440" w:right="846" w:bottom="730" w:left="1440" w:header="0" w:footer="0" w:gutter="0"/>
        </w:sectPr>
      </w:pPr>
    </w:p>
    <w:bookmarkStart w:name="page3" w:id="2"/>
    <w:bookmarkEnd w:id="2"/>
    <w:p>
      <w:pPr>
        <w:ind w:left="26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1.7.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Образовательная организация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при котором создан физкультурно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спортивный клуб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осуществляет контроль за его деятельностью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1.6.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Условием открытия Клуба служат следующие критерии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: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jc w:val="both"/>
        <w:ind w:left="260" w:firstLine="2"/>
        <w:spacing w:after="0" w:line="235" w:lineRule="auto"/>
        <w:tabs>
          <w:tab w:val="left" w:leader="none" w:pos="416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наличие материально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технической спортивной базы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спортивный зал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спортивные площадки и т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д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.),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а также их оснащение спортивным инвентарем и спортивным оборудованием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3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активное участие в спортивно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массовых мероприятиях и соревнованиях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наличие квалификационных кадров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1.8.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 своей практической деятельности Клуб руководствуется настоящим положением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ind w:left="4660" w:hanging="356"/>
        <w:spacing w:after="0"/>
        <w:tabs>
          <w:tab w:val="left" w:leader="none" w:pos="466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Структура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2.1.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Общее руководство деятельностью Клуба осуществляет руководитель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назначенный приказом руководителя образовательного учреждения или решением общественного объединения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2.2.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Непосредственное организационное и методическое руководство осуществляет руководитель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2.3.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Деятельность руководителя Клуба регламентируется должностными обязанностями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2.4.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Руководство работой в классах осуществляют учителя физической культуры ОО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2.5.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Клуб ежегодно на своем собрании избирает Совет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далее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Совет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).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 Совет Клуба могут входить учащиеся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Совет Клуба руководит работой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Между членами Совета Клуба распределяются обязанности по руководству комиссиями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: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спортивно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массовой работы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организационно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методической работы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пропаганде физической культуры и спорта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2.6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Совет Клуба имеет право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: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принимать учащихся в состав клуба и исключать из него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64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firstLine="2"/>
        <w:spacing w:after="0" w:line="233" w:lineRule="auto"/>
        <w:tabs>
          <w:tab w:val="left" w:leader="none" w:pos="538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участвовать в распределении денежных средств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выделенных для развития физкультуры и спорта в образовательном учреждении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1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создавать календарь спортивно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массовых мероприятий на учебный год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проводить спартакиаду образовательного учреждения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67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right="20" w:firstLine="2"/>
        <w:spacing w:after="0" w:line="233" w:lineRule="auto"/>
        <w:tabs>
          <w:tab w:val="left" w:leader="none" w:pos="421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представлять списки активистов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физкультурников и спортсменов для поощрения и награждения администрацией образовательного учреждения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0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пользоваться спортивным инвентарем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оборудованием и сооружениями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2840" w:hanging="369"/>
        <w:spacing w:after="0"/>
        <w:tabs>
          <w:tab w:val="left" w:leader="none" w:pos="284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Организация и содержание работы Клуба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3.1.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Основными направлениями в работе Клуба являются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: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привлечение обучающихся к занятиям физической культурой и спортом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2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открытие спортивных секций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571" w:right="846" w:bottom="603" w:left="1440" w:header="0" w:footer="0" w:gutter="0"/>
        </w:sectPr>
      </w:pPr>
    </w:p>
    <w:bookmarkStart w:name="page5" w:id="4"/>
    <w:bookmarkEnd w:id="4"/>
    <w:p>
      <w:pPr>
        <w:ind w:left="260" w:right="20" w:firstLine="2"/>
        <w:spacing w:after="0" w:line="234" w:lineRule="auto"/>
        <w:tabs>
          <w:tab w:val="left" w:leader="none" w:pos="505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воспитание у детей и подростков устойчивого интереса к систематическим занятиям физической культурой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спортом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туризмом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 здоровому образу жизни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66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firstLine="2"/>
        <w:spacing w:after="0" w:line="233" w:lineRule="auto"/>
        <w:tabs>
          <w:tab w:val="left" w:leader="none" w:pos="414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укрепление и сохранение здоровья при помощи регулярных занятий в спортивных кружках и секциях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участие в оздоровительных мероприятиях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3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организация здорового досуга обучающихся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64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firstLine="2"/>
        <w:spacing w:after="0" w:line="233" w:lineRule="auto"/>
        <w:tabs>
          <w:tab w:val="left" w:leader="none" w:pos="627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организация и проведение массовых физкультурно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оздоровительных и спортивных мероприятий в образовательной организации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3.2.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 занятиям в спортивном клубе допускаются несовершеннолетние обучающиеся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представившие на имя руководителя спортивного клуба письменное заявление от их родителей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законных представителей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).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3.4.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Комплектование групп осуществляется с учетом пола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возраста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состояния здоровья и уровня физической подготовленности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спортивной направленности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по желанию обучающихся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3.5.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Медицинский контроль за всеми занимающимися в спортивных секциях осуществляется руководителем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педагогом дополнительного образования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тренером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)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во взаимодействии с медицинским персоналом образовательной организации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3.6.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Организацию и проведение занятий осуществляют учителя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преподаватель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) 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физической культуры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3.7.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Учебный контроль за организацией и проведением занятий в Клубе осуществляет руководитель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3.8.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матчевые встречи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турниры и другие соревнования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3440" w:hanging="362"/>
        <w:spacing w:after="0"/>
        <w:tabs>
          <w:tab w:val="left" w:leader="none" w:pos="344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Материально</w:t>
      </w: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техническая база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4.1.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Для проведения физкультурно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оздоровительной работы в Клубе используется спортивный инвентарь и оборудование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спортивный класс и спортивные площадки ОО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ind w:left="2720" w:hanging="357"/>
        <w:spacing w:after="0"/>
        <w:tabs>
          <w:tab w:val="left" w:leader="none" w:pos="2720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Права и обязанности воспитанников Клуба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5.1.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Воспитанники Клуба имеют право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: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260" w:right="20" w:firstLine="2"/>
        <w:spacing w:after="0" w:line="234" w:lineRule="auto"/>
        <w:tabs>
          <w:tab w:val="left" w:leader="none" w:pos="433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бесплатно пользоваться спортивным инвентарем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оборудованием и спортивными сооружениями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а также методическими пособиями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0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получать консультации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избирать и быть избранными в Совет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0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вносить предложения по совершенствованию работы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5.2.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Воспитанник Клуба обязан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: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соблюдать установленный порядок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соблюдать правила техники безопасности при проведении занятий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ectPr>
          <w:pgSz w:w="11900" w:h="16838" w:orient="portrait"/>
          <w:cols w:equalWidth="0" w:num="1">
            <w:col w:w="9620"/>
          </w:cols>
          <w:pgMar w:top="571" w:right="846" w:bottom="605" w:left="1440" w:header="0" w:footer="0" w:gutter="0"/>
        </w:sectPr>
      </w:pPr>
    </w:p>
    <w:bookmarkStart w:name="page7" w:id="6"/>
    <w:bookmarkEnd w:id="6"/>
    <w:p>
      <w:pPr>
        <w:ind w:left="420" w:hanging="158"/>
        <w:spacing w:after="0"/>
        <w:tabs>
          <w:tab w:val="left" w:leader="none" w:pos="42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бережно относиться к имуществу и спортивному инвентарю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показывать личный пример здорового образа жизни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2920" w:hanging="358"/>
        <w:spacing w:after="0"/>
        <w:tabs>
          <w:tab w:val="left" w:leader="none" w:pos="292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Документация Клуба</w:t>
      </w: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 xml:space="preserve"> учет и отчетность</w:t>
      </w:r>
    </w:p>
    <w:p>
      <w:pPr>
        <w:spacing w:after="0" w:line="16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6.1.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В своей деятельности Клуб руководствуется своим планом работы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календарным планом спортивно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массовых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оздоровительных и туристских мероприятий образовательной организации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района и т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д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6.2.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Клуб должен иметь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: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положение о Клубе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приказ по образовательной организации об открытии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0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положение о Совете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64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firstLine="2"/>
        <w:spacing w:after="0" w:line="234" w:lineRule="auto"/>
        <w:tabs>
          <w:tab w:val="left" w:leader="none" w:pos="442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информационный стенд о деятельности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название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эмблема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календарный план мероприятий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);</w:t>
      </w:r>
    </w:p>
    <w:p>
      <w:pPr>
        <w:spacing w:after="0" w:line="150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расписания занятий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журналы групп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занимающихся в спортивных секциях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годовые отчеты о проделанной работе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49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результаты и итоги участия в соревнованиях образовательной организации т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д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.;</w:t>
      </w:r>
    </w:p>
    <w:p>
      <w:pPr>
        <w:spacing w:after="0" w:line="150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протоколы заседаний Совета Клуба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64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260" w:firstLine="2"/>
        <w:spacing w:after="0" w:line="234" w:lineRule="auto"/>
        <w:tabs>
          <w:tab w:val="left" w:leader="none" w:pos="433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инструкции по охране труда и при проведении учебно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тренировочных занятий и спортивно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-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массовых мероприятий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;</w:t>
      </w:r>
    </w:p>
    <w:p>
      <w:pPr>
        <w:spacing w:after="0" w:line="150" w:lineRule="exact"/>
        <w:rPr>
          <w:rFonts w:ascii="Times New Roman" w:hAnsi="Times New Roman" w:eastAsia="Times New Roman" w:cs="Times New Roman"/>
          <w:sz w:val="26"/>
          <w:szCs w:val="26"/>
          <w:color w:val="auto"/>
        </w:rPr>
      </w:pPr>
    </w:p>
    <w:p>
      <w:pPr>
        <w:ind w:left="420" w:hanging="158"/>
        <w:spacing w:after="0"/>
        <w:tabs>
          <w:tab w:val="left" w:leader="none" w:pos="42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6"/>
          <w:szCs w:val="26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должностные инструкции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3600" w:hanging="359"/>
        <w:spacing w:after="0"/>
        <w:tabs>
          <w:tab w:val="left" w:leader="none" w:pos="360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b w:val="1"/>
          <w:bCs w:val="1"/>
          <w:color w:val="auto"/>
        </w:rPr>
        <w:t>Источники финансирования</w: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none" w:pos="9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7.1.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Деятельность Клуба осуществляется за счет бюджетного финансирования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both"/>
        <w:ind w:left="260" w:hanging="11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7.2.</w:t>
      </w:r>
      <w:r>
        <w:rPr>
          <w:sz w:val="20"/>
          <w:szCs w:val="20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Клуб имеет право привлекать в соответствии с Законодательством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Уставом образовательной организации дополнительные финансовые средства за счет предоставления дополнительных платных услуг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целевые спонсорские средства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,</w:t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 xml:space="preserve"> благотворительные пожертвования юридических и физических лиц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556" w:right="84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1EB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1">
    <w:nsid w:val="BB3"/>
    <w:multiLevelType w:val="hybridMultilevel"/>
    <w:lvl w:ilvl="0">
      <w:lvlJc w:val="left"/>
      <w:lvlText w:val="-"/>
      <w:numFmt w:val="bullet"/>
      <w:start w:val="1"/>
    </w:lvl>
  </w:abstractNum>
  <w:abstractNum w:abstractNumId="2">
    <w:nsid w:val="2EA6"/>
    <w:multiLevelType w:val="hybridMultilevel"/>
    <w:lvl w:ilvl="0">
      <w:lvlJc w:val="left"/>
      <w:lvlText w:val="%1."/>
      <w:numFmt w:val="decimal"/>
      <w:start w:val="2"/>
    </w:lvl>
  </w:abstractNum>
  <w:abstractNum w:abstractNumId="3">
    <w:nsid w:val="12DB"/>
    <w:multiLevelType w:val="hybridMultilevel"/>
    <w:lvl w:ilvl="0">
      <w:lvlJc w:val="left"/>
      <w:lvlText w:val="-"/>
      <w:numFmt w:val="bullet"/>
      <w:start w:val="1"/>
    </w:lvl>
  </w:abstractNum>
  <w:abstractNum w:abstractNumId="4">
    <w:nsid w:val="153C"/>
    <w:multiLevelType w:val="hybridMultilevel"/>
    <w:lvl w:ilvl="0">
      <w:lvlJc w:val="left"/>
      <w:lvlText w:val="%1."/>
      <w:numFmt w:val="decimal"/>
      <w:start w:val="3"/>
    </w:lvl>
  </w:abstractNum>
  <w:abstractNum w:abstractNumId="5">
    <w:nsid w:val="7E87"/>
    <w:multiLevelType w:val="hybridMultilevel"/>
    <w:lvl w:ilvl="0">
      <w:lvlJc w:val="left"/>
      <w:lvlText w:val="-"/>
      <w:numFmt w:val="bullet"/>
      <w:start w:val="1"/>
    </w:lvl>
  </w:abstractNum>
  <w:abstractNum w:abstractNumId="6">
    <w:nsid w:val="390C"/>
    <w:multiLevelType w:val="hybridMultilevel"/>
    <w:lvl w:ilvl="0">
      <w:lvlJc w:val="left"/>
      <w:lvlText w:val="-"/>
      <w:numFmt w:val="bullet"/>
      <w:start w:val="1"/>
    </w:lvl>
  </w:abstractNum>
  <w:abstractNum w:abstractNumId="7">
    <w:nsid w:val="F3E"/>
    <w:multiLevelType w:val="hybridMultilevel"/>
    <w:lvl w:ilvl="0">
      <w:lvlJc w:val="left"/>
      <w:lvlText w:val="%1."/>
      <w:numFmt w:val="decimal"/>
      <w:start w:val="4"/>
    </w:lvl>
  </w:abstractNum>
  <w:abstractNum w:abstractNumId="8">
    <w:nsid w:val="99"/>
    <w:multiLevelType w:val="hybridMultilevel"/>
    <w:lvl w:ilvl="0">
      <w:lvlJc w:val="left"/>
      <w:lvlText w:val="%1."/>
      <w:numFmt w:val="decimal"/>
      <w:start w:val="5"/>
    </w:lvl>
  </w:abstractNum>
  <w:abstractNum w:abstractNumId="9">
    <w:nsid w:val="124"/>
    <w:multiLevelType w:val="hybridMultilevel"/>
    <w:lvl w:ilvl="0">
      <w:lvlJc w:val="left"/>
      <w:lvlText w:val="-"/>
      <w:numFmt w:val="bullet"/>
      <w:start w:val="1"/>
    </w:lvl>
  </w:abstractNum>
  <w:abstractNum w:abstractNumId="10">
    <w:nsid w:val="305E"/>
    <w:multiLevelType w:val="hybridMultilevel"/>
    <w:lvl w:ilvl="0">
      <w:lvlJc w:val="left"/>
      <w:lvlText w:val="-"/>
      <w:numFmt w:val="bullet"/>
      <w:start w:val="1"/>
    </w:lvl>
  </w:abstractNum>
  <w:abstractNum w:abstractNumId="11">
    <w:nsid w:val="440D"/>
    <w:multiLevelType w:val="hybridMultilevel"/>
    <w:lvl w:ilvl="0">
      <w:lvlJc w:val="left"/>
      <w:lvlText w:val="-"/>
      <w:numFmt w:val="bullet"/>
      <w:start w:val="1"/>
    </w:lvl>
  </w:abstractNum>
  <w:abstractNum w:abstractNumId="12">
    <w:nsid w:val="491C"/>
    <w:multiLevelType w:val="hybridMultilevel"/>
    <w:lvl w:ilvl="0">
      <w:lvlJc w:val="left"/>
      <w:lvlText w:val="%1."/>
      <w:numFmt w:val="decimal"/>
      <w:start w:val="6"/>
    </w:lvl>
  </w:abstractNum>
  <w:abstractNum w:abstractNumId="13">
    <w:nsid w:val="4D06"/>
    <w:multiLevelType w:val="hybridMultilevel"/>
    <w:lvl w:ilvl="0">
      <w:lvlJc w:val="left"/>
      <w:lvlText w:val="-"/>
      <w:numFmt w:val="bullet"/>
      <w:start w:val="1"/>
    </w:lvl>
  </w:abstractNum>
  <w:abstractNum w:abstractNumId="14">
    <w:nsid w:val="4DB7"/>
    <w:multiLevelType w:val="hybridMultilevel"/>
    <w:lvl w:ilvl="0">
      <w:lvlJc w:val="left"/>
      <w:lvlText w:val="%1."/>
      <w:numFmt w:val="decimal"/>
      <w:start w:val="7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2023-11-13T20:57:11Z</dcterms:created>
  <dcterms:modified xsi:type="dcterms:W3CDTF">2023-11-13T20:57:11Z</dcterms:modified>
</cp:coreProperties>
</file>